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797D" w:rsidRPr="00DE27C9" w:rsidRDefault="0067797D" w:rsidP="0067797D">
      <w:pPr>
        <w:spacing w:line="480" w:lineRule="auto"/>
        <w:jc w:val="center"/>
        <w:rPr>
          <w:b/>
          <w:bCs/>
        </w:rPr>
      </w:pPr>
      <w:r w:rsidRPr="00DE27C9">
        <w:rPr>
          <w:b/>
          <w:bCs/>
        </w:rPr>
        <w:t xml:space="preserve">FONDAZIONE </w:t>
      </w:r>
      <w:r>
        <w:rPr>
          <w:b/>
          <w:bCs/>
        </w:rPr>
        <w:t>SANITA’ FUTURA</w:t>
      </w:r>
    </w:p>
    <w:p w:rsidR="0067797D" w:rsidRPr="00DE27C9" w:rsidRDefault="0067797D" w:rsidP="0067797D">
      <w:pPr>
        <w:spacing w:line="480" w:lineRule="auto"/>
        <w:jc w:val="center"/>
        <w:rPr>
          <w:b/>
          <w:bCs/>
        </w:rPr>
      </w:pPr>
      <w:r w:rsidRPr="00DE27C9">
        <w:rPr>
          <w:b/>
          <w:bCs/>
        </w:rPr>
        <w:t xml:space="preserve">NOTA INTEGRATIVA AL </w:t>
      </w:r>
      <w:r>
        <w:rPr>
          <w:b/>
          <w:bCs/>
        </w:rPr>
        <w:t>BILANCIO</w:t>
      </w:r>
    </w:p>
    <w:p w:rsidR="0067797D" w:rsidRPr="00DE27C9" w:rsidRDefault="0067797D" w:rsidP="0067797D">
      <w:pPr>
        <w:spacing w:line="480" w:lineRule="auto"/>
        <w:jc w:val="center"/>
        <w:rPr>
          <w:b/>
          <w:bCs/>
        </w:rPr>
      </w:pPr>
      <w:r w:rsidRPr="00DE27C9">
        <w:rPr>
          <w:b/>
          <w:bCs/>
        </w:rPr>
        <w:t>CHIUSO AL 31.12.201</w:t>
      </w:r>
      <w:r>
        <w:rPr>
          <w:b/>
          <w:bCs/>
        </w:rPr>
        <w:t>9</w:t>
      </w:r>
    </w:p>
    <w:p w:rsidR="0067797D" w:rsidRPr="00DE27C9" w:rsidRDefault="0067797D" w:rsidP="0067797D">
      <w:pPr>
        <w:spacing w:line="480" w:lineRule="auto"/>
        <w:jc w:val="center"/>
        <w:rPr>
          <w:b/>
          <w:bCs/>
        </w:rPr>
      </w:pPr>
      <w:r w:rsidRPr="00DE27C9">
        <w:rPr>
          <w:b/>
          <w:bCs/>
        </w:rPr>
        <w:t>°°°°°°</w:t>
      </w:r>
    </w:p>
    <w:p w:rsidR="0067797D" w:rsidRPr="00DE27C9" w:rsidRDefault="0067797D" w:rsidP="0067797D">
      <w:pPr>
        <w:spacing w:line="480" w:lineRule="auto"/>
        <w:jc w:val="both"/>
      </w:pPr>
      <w:r w:rsidRPr="00DE27C9">
        <w:t xml:space="preserve">Gentili </w:t>
      </w:r>
      <w:r>
        <w:t>C</w:t>
      </w:r>
      <w:r w:rsidRPr="00DE27C9">
        <w:t>onsiglieri,</w:t>
      </w:r>
    </w:p>
    <w:p w:rsidR="0067797D" w:rsidRPr="00DE27C9" w:rsidRDefault="0067797D" w:rsidP="0067797D">
      <w:pPr>
        <w:spacing w:line="480" w:lineRule="auto"/>
        <w:jc w:val="both"/>
      </w:pPr>
      <w:r w:rsidRPr="00DE27C9">
        <w:t>ai fini di una maggiore trasparenza, si è provveduto a stilare il presente</w:t>
      </w:r>
      <w:r>
        <w:t xml:space="preserve"> Bilancio composto da stato patrimoniale e</w:t>
      </w:r>
      <w:r w:rsidRPr="00DE27C9">
        <w:t xml:space="preserve"> rendiconto d’esercizio</w:t>
      </w:r>
      <w:r>
        <w:t xml:space="preserve"> </w:t>
      </w:r>
      <w:r w:rsidRPr="00DE27C9">
        <w:t>corredato da nota integrativa esplicativa.</w:t>
      </w:r>
    </w:p>
    <w:p w:rsidR="0067797D" w:rsidRDefault="0067797D" w:rsidP="0067797D">
      <w:pPr>
        <w:spacing w:line="480" w:lineRule="auto"/>
        <w:jc w:val="both"/>
      </w:pPr>
      <w:r>
        <w:t>L</w:t>
      </w:r>
      <w:r w:rsidRPr="00DE27C9">
        <w:t xml:space="preserve">a Fondazione </w:t>
      </w:r>
      <w:r>
        <w:t>Sanità Futura</w:t>
      </w:r>
      <w:r w:rsidRPr="00DE27C9">
        <w:t xml:space="preserve"> è stata costituita con atto</w:t>
      </w:r>
      <w:r>
        <w:t xml:space="preserve"> </w:t>
      </w:r>
      <w:r w:rsidRPr="00DE27C9">
        <w:t xml:space="preserve">pubblico in data </w:t>
      </w:r>
      <w:r>
        <w:t>27/11/</w:t>
      </w:r>
      <w:r w:rsidRPr="00DE27C9">
        <w:t xml:space="preserve"> 2017, come risulta da Atto Costitutivo e Statuto registrati</w:t>
      </w:r>
      <w:r>
        <w:t xml:space="preserve"> </w:t>
      </w:r>
      <w:r w:rsidRPr="00DE27C9">
        <w:t xml:space="preserve">presso l’Ufficio A.D.E. </w:t>
      </w:r>
      <w:r>
        <w:t xml:space="preserve">Milano </w:t>
      </w:r>
      <w:proofErr w:type="gramStart"/>
      <w:r>
        <w:t>2</w:t>
      </w:r>
      <w:r w:rsidRPr="00DE27C9">
        <w:t xml:space="preserve">  il</w:t>
      </w:r>
      <w:proofErr w:type="gramEnd"/>
      <w:r w:rsidRPr="00DE27C9">
        <w:t xml:space="preserve"> </w:t>
      </w:r>
      <w:r>
        <w:t>30</w:t>
      </w:r>
      <w:r w:rsidRPr="00DE27C9">
        <w:t xml:space="preserve">/11/2017 al n. </w:t>
      </w:r>
      <w:r>
        <w:t>58877</w:t>
      </w:r>
      <w:r w:rsidRPr="00DE27C9">
        <w:t xml:space="preserve"> serie 1T.</w:t>
      </w:r>
    </w:p>
    <w:p w:rsidR="0067797D" w:rsidRDefault="0067797D" w:rsidP="0067797D">
      <w:pPr>
        <w:spacing w:line="480" w:lineRule="auto"/>
        <w:jc w:val="both"/>
      </w:pPr>
      <w:r>
        <w:t xml:space="preserve">In seguito modificato con atto pubblico del 20 marzo 2018 registrato </w:t>
      </w:r>
      <w:r w:rsidRPr="00DE27C9">
        <w:t xml:space="preserve">l’Ufficio A.D.E. </w:t>
      </w:r>
      <w:r>
        <w:t xml:space="preserve">Milano </w:t>
      </w:r>
      <w:proofErr w:type="gramStart"/>
      <w:r>
        <w:t>2</w:t>
      </w:r>
      <w:r w:rsidRPr="00DE27C9">
        <w:t xml:space="preserve">  il</w:t>
      </w:r>
      <w:proofErr w:type="gramEnd"/>
      <w:r w:rsidRPr="00DE27C9">
        <w:t xml:space="preserve"> </w:t>
      </w:r>
      <w:r>
        <w:t>21/03/2018</w:t>
      </w:r>
      <w:r w:rsidRPr="00DE27C9">
        <w:t xml:space="preserve"> al n. </w:t>
      </w:r>
      <w:r>
        <w:t>13319</w:t>
      </w:r>
      <w:r w:rsidRPr="00DE27C9">
        <w:t xml:space="preserve"> serie 1T</w:t>
      </w:r>
      <w:r>
        <w:t xml:space="preserve"> . </w:t>
      </w:r>
    </w:p>
    <w:p w:rsidR="0067797D" w:rsidRPr="00DE27C9" w:rsidRDefault="0067797D" w:rsidP="0067797D">
      <w:pPr>
        <w:spacing w:line="480" w:lineRule="auto"/>
        <w:jc w:val="both"/>
      </w:pPr>
      <w:r>
        <w:t>L’ esercizio chiude al 31/12/2019.</w:t>
      </w:r>
    </w:p>
    <w:p w:rsidR="0067797D" w:rsidRDefault="0067797D" w:rsidP="0067797D">
      <w:pPr>
        <w:spacing w:line="480" w:lineRule="auto"/>
        <w:jc w:val="both"/>
      </w:pPr>
      <w:r w:rsidRPr="00DE27C9">
        <w:t>Nel corso poi dell’esercizio 2018</w:t>
      </w:r>
      <w:r w:rsidRPr="00245845">
        <w:t xml:space="preserve"> </w:t>
      </w:r>
      <w:r w:rsidRPr="00DE27C9">
        <w:t xml:space="preserve">la Fondazione </w:t>
      </w:r>
      <w:r>
        <w:t>Sanità Futura ha inoltrato</w:t>
      </w:r>
      <w:r w:rsidRPr="00DE27C9">
        <w:t xml:space="preserve"> istanza di riconoscimento in Prefettura </w:t>
      </w:r>
      <w:r>
        <w:t>di Milano con</w:t>
      </w:r>
      <w:r w:rsidRPr="00DE27C9">
        <w:t xml:space="preserve"> esito positivo</w:t>
      </w:r>
      <w:r>
        <w:t xml:space="preserve"> </w:t>
      </w:r>
      <w:r w:rsidRPr="00DE27C9">
        <w:t xml:space="preserve">ottenuto in data </w:t>
      </w:r>
      <w:r>
        <w:t>24 aprila</w:t>
      </w:r>
      <w:r w:rsidRPr="00DE27C9">
        <w:t xml:space="preserve"> 2018</w:t>
      </w:r>
      <w:r>
        <w:t xml:space="preserve"> attraverso </w:t>
      </w:r>
      <w:r w:rsidRPr="00DE27C9">
        <w:t xml:space="preserve">l’iscrizione al registro delle </w:t>
      </w:r>
      <w:r>
        <w:t>p</w:t>
      </w:r>
      <w:r w:rsidRPr="00DE27C9">
        <w:t xml:space="preserve">ersone giuridiche tenuto presso la Prefettura di </w:t>
      </w:r>
      <w:r>
        <w:t>Milano</w:t>
      </w:r>
      <w:r w:rsidRPr="00DE27C9">
        <w:t xml:space="preserve"> al</w:t>
      </w:r>
      <w:r>
        <w:t xml:space="preserve"> </w:t>
      </w:r>
      <w:r w:rsidRPr="00DE27C9">
        <w:t>n.</w:t>
      </w:r>
      <w:r>
        <w:t>1606 della pagina 6270 del volume 8°</w:t>
      </w:r>
      <w:r w:rsidRPr="00DE27C9">
        <w:t>.</w:t>
      </w:r>
    </w:p>
    <w:p w:rsidR="0067797D" w:rsidRPr="00DE27C9" w:rsidRDefault="0067797D" w:rsidP="0067797D">
      <w:pPr>
        <w:spacing w:line="480" w:lineRule="auto"/>
        <w:jc w:val="both"/>
      </w:pPr>
      <w:r>
        <w:t xml:space="preserve">In seguito la Fondazione ha svolto e sta </w:t>
      </w:r>
      <w:proofErr w:type="gramStart"/>
      <w:r>
        <w:t>svolgendo  l’attività</w:t>
      </w:r>
      <w:proofErr w:type="gramEnd"/>
      <w:r>
        <w:t xml:space="preserve"> tipica volta al perseguimento dei propri scopi previsti dallo statuto.</w:t>
      </w:r>
    </w:p>
    <w:p w:rsidR="0067797D" w:rsidRPr="00DE27C9" w:rsidRDefault="0067797D" w:rsidP="0067797D">
      <w:pPr>
        <w:spacing w:line="480" w:lineRule="auto"/>
        <w:jc w:val="both"/>
      </w:pPr>
      <w:r w:rsidRPr="00DE27C9">
        <w:t xml:space="preserve">Nel formulare il presente </w:t>
      </w:r>
      <w:r>
        <w:t>bilancio</w:t>
      </w:r>
      <w:r w:rsidRPr="00DE27C9">
        <w:t xml:space="preserve"> si è tenuto conto dei seguenti</w:t>
      </w:r>
      <w:r>
        <w:t xml:space="preserve"> </w:t>
      </w:r>
      <w:r w:rsidRPr="00DE27C9">
        <w:t>principi:</w:t>
      </w:r>
    </w:p>
    <w:p w:rsidR="0067797D" w:rsidRPr="00DE27C9" w:rsidRDefault="0067797D" w:rsidP="0067797D">
      <w:pPr>
        <w:spacing w:line="480" w:lineRule="auto"/>
        <w:jc w:val="both"/>
      </w:pPr>
      <w:r w:rsidRPr="00DE27C9">
        <w:t>- la valutazione delle voci è stata effettuata nella prospettiva di continuazione dell’attività;</w:t>
      </w:r>
    </w:p>
    <w:p w:rsidR="0067797D" w:rsidRPr="00DE27C9" w:rsidRDefault="0067797D" w:rsidP="0067797D">
      <w:pPr>
        <w:spacing w:line="480" w:lineRule="auto"/>
        <w:jc w:val="both"/>
      </w:pPr>
      <w:r w:rsidRPr="00DE27C9">
        <w:t>- si è seguito scrupolosamente il principio della prudenza e nel rendiconto sono compresi solo</w:t>
      </w:r>
      <w:r>
        <w:t xml:space="preserve"> </w:t>
      </w:r>
      <w:r w:rsidRPr="00DE27C9">
        <w:t>avanzi realizzati alla data di chiusura dell’esercizio;</w:t>
      </w:r>
    </w:p>
    <w:p w:rsidR="0067797D" w:rsidRPr="00DE27C9" w:rsidRDefault="0067797D" w:rsidP="0067797D">
      <w:pPr>
        <w:spacing w:line="480" w:lineRule="auto"/>
        <w:jc w:val="both"/>
      </w:pPr>
      <w:r w:rsidRPr="00DE27C9">
        <w:t>- si è tenuto conto dei proventi di cassa e degli oneri di cassa del periodo cui si riferisce il</w:t>
      </w:r>
      <w:r>
        <w:t xml:space="preserve"> </w:t>
      </w:r>
      <w:r w:rsidRPr="00DE27C9">
        <w:t>rendiconto;</w:t>
      </w:r>
    </w:p>
    <w:p w:rsidR="0067797D" w:rsidRPr="00DE27C9" w:rsidRDefault="0067797D" w:rsidP="0067797D">
      <w:pPr>
        <w:spacing w:line="480" w:lineRule="auto"/>
        <w:jc w:val="both"/>
      </w:pPr>
      <w:r w:rsidRPr="00DE27C9">
        <w:lastRenderedPageBreak/>
        <w:t>- non si è provveduto a raggruppare gli elementi eterogenei ma le singole voci sono state</w:t>
      </w:r>
      <w:r>
        <w:t xml:space="preserve"> </w:t>
      </w:r>
      <w:r w:rsidRPr="00DE27C9">
        <w:t>valutate separatamente;</w:t>
      </w:r>
    </w:p>
    <w:p w:rsidR="0067797D" w:rsidRPr="00DE27C9" w:rsidRDefault="0067797D" w:rsidP="0067797D">
      <w:pPr>
        <w:spacing w:line="480" w:lineRule="auto"/>
        <w:jc w:val="both"/>
      </w:pPr>
      <w:r w:rsidRPr="00DE27C9">
        <w:t xml:space="preserve">- nella presente nota integrativa esplicativa al rendiconto </w:t>
      </w:r>
      <w:r>
        <w:t>gestionale</w:t>
      </w:r>
      <w:r w:rsidRPr="00DE27C9">
        <w:t>, che rappresenta parte</w:t>
      </w:r>
      <w:r>
        <w:t xml:space="preserve"> </w:t>
      </w:r>
      <w:r w:rsidRPr="00DE27C9">
        <w:t>integrante dello stesso rendiconto, vengono fornite tutte le informazioni relative agli aspetti di</w:t>
      </w:r>
      <w:r>
        <w:t xml:space="preserve"> </w:t>
      </w:r>
      <w:r w:rsidRPr="00DE27C9">
        <w:t>natura patrimoniale della Fondazione, al fine di dare un quadro complessivo e trasparente di</w:t>
      </w:r>
      <w:r>
        <w:t xml:space="preserve"> </w:t>
      </w:r>
      <w:r w:rsidRPr="00DE27C9">
        <w:t>tutte le attività sia finanziarie che patrimoniali, nonché gli impegni assunti dalla Fondazione</w:t>
      </w:r>
      <w:r>
        <w:t xml:space="preserve"> </w:t>
      </w:r>
      <w:r w:rsidRPr="00DE27C9">
        <w:t>non risultanti dall</w:t>
      </w:r>
      <w:r>
        <w:t>o</w:t>
      </w:r>
      <w:r w:rsidRPr="00DE27C9">
        <w:t xml:space="preserve"> stato patrimoniale.</w:t>
      </w:r>
    </w:p>
    <w:p w:rsidR="0067797D" w:rsidRDefault="0067797D" w:rsidP="0067797D">
      <w:pPr>
        <w:spacing w:line="480" w:lineRule="auto"/>
      </w:pPr>
      <w:r w:rsidRPr="00DE27C9">
        <w:t>La Fondazione non controlla imprese né ha quote di partecipazione in imprese.</w:t>
      </w:r>
    </w:p>
    <w:p w:rsidR="0067797D" w:rsidRPr="004A3DA7" w:rsidRDefault="0067797D" w:rsidP="0067797D">
      <w:pPr>
        <w:spacing w:line="480" w:lineRule="auto"/>
        <w:rPr>
          <w:b/>
          <w:bCs/>
        </w:rPr>
      </w:pPr>
      <w:r w:rsidRPr="004A3DA7">
        <w:rPr>
          <w:b/>
          <w:bCs/>
        </w:rPr>
        <w:t>B) IMMOBILIZZAZIONI</w:t>
      </w:r>
    </w:p>
    <w:p w:rsidR="0067797D" w:rsidRPr="004A3DA7" w:rsidRDefault="0067797D" w:rsidP="0067797D">
      <w:pPr>
        <w:spacing w:line="480" w:lineRule="auto"/>
        <w:rPr>
          <w:b/>
          <w:bCs/>
        </w:rPr>
      </w:pPr>
      <w:r w:rsidRPr="004A3DA7">
        <w:rPr>
          <w:b/>
          <w:bCs/>
        </w:rPr>
        <w:t>IMMOBILIZZAZIONI IMMATERIALI</w:t>
      </w: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120"/>
        <w:gridCol w:w="1000"/>
        <w:gridCol w:w="1500"/>
        <w:gridCol w:w="1000"/>
      </w:tblGrid>
      <w:tr w:rsidR="0067797D" w:rsidRPr="00F35FC8" w:rsidTr="006A5119">
        <w:trPr>
          <w:trHeight w:val="76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99CC" w:fill="CCFFFF"/>
            <w:vAlign w:val="center"/>
            <w:hideMark/>
          </w:tcPr>
          <w:p w:rsidR="0067797D" w:rsidRPr="00F35FC8" w:rsidRDefault="0067797D" w:rsidP="006A5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35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IMMOBILIZZAZIONI IMMATERIALI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FF99CC" w:fill="CCFFFF"/>
            <w:vAlign w:val="center"/>
            <w:hideMark/>
          </w:tcPr>
          <w:p w:rsidR="0067797D" w:rsidRPr="00F35FC8" w:rsidRDefault="0067797D" w:rsidP="006A5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35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Saldo inizio esercizio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FF99CC" w:fill="CCFFFF"/>
            <w:vAlign w:val="center"/>
            <w:hideMark/>
          </w:tcPr>
          <w:p w:rsidR="0067797D" w:rsidRPr="00F35FC8" w:rsidRDefault="0067797D" w:rsidP="006A5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35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Variazioni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FF99CC" w:fill="CCFFFF"/>
            <w:vAlign w:val="center"/>
            <w:hideMark/>
          </w:tcPr>
          <w:p w:rsidR="0067797D" w:rsidRPr="00F35FC8" w:rsidRDefault="0067797D" w:rsidP="006A5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35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Ammortamento esercizio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FF99CC" w:fill="CCFFFF"/>
            <w:vAlign w:val="center"/>
            <w:hideMark/>
          </w:tcPr>
          <w:p w:rsidR="0067797D" w:rsidRPr="00F35FC8" w:rsidRDefault="0067797D" w:rsidP="006A5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35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Saldo fine esercizio </w:t>
            </w:r>
          </w:p>
        </w:tc>
      </w:tr>
      <w:tr w:rsidR="0067797D" w:rsidRPr="00F35FC8" w:rsidTr="006A511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7D" w:rsidRPr="00F35FC8" w:rsidRDefault="0067797D" w:rsidP="006A5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35FC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Sito web – logo -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D" w:rsidRPr="00F35FC8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35FC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D" w:rsidRPr="00F35FC8" w:rsidRDefault="0067797D" w:rsidP="006A5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35FC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5.564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D" w:rsidRPr="00F35FC8" w:rsidRDefault="0067797D" w:rsidP="006A5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35FC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D" w:rsidRPr="00F35FC8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35FC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4.451</w:t>
            </w:r>
          </w:p>
        </w:tc>
      </w:tr>
      <w:tr w:rsidR="0067797D" w:rsidRPr="00F35FC8" w:rsidTr="006A5119">
        <w:trPr>
          <w:trHeight w:val="4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99CC" w:fill="CCFFFF"/>
            <w:noWrap/>
            <w:vAlign w:val="center"/>
            <w:hideMark/>
          </w:tcPr>
          <w:p w:rsidR="0067797D" w:rsidRPr="00F35FC8" w:rsidRDefault="0067797D" w:rsidP="006A5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35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99CC" w:fill="CCFFFF"/>
            <w:noWrap/>
            <w:vAlign w:val="center"/>
            <w:hideMark/>
          </w:tcPr>
          <w:p w:rsidR="0067797D" w:rsidRPr="00F35FC8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35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99CC" w:fill="CCFFFF"/>
            <w:noWrap/>
            <w:vAlign w:val="center"/>
            <w:hideMark/>
          </w:tcPr>
          <w:p w:rsidR="0067797D" w:rsidRPr="00F35FC8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35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5.564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99CC" w:fill="CCFFFF"/>
            <w:noWrap/>
            <w:vAlign w:val="center"/>
            <w:hideMark/>
          </w:tcPr>
          <w:p w:rsidR="0067797D" w:rsidRPr="00F35FC8" w:rsidRDefault="0067797D" w:rsidP="006A5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35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1.163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99CC" w:fill="CCFFFF"/>
            <w:noWrap/>
            <w:vAlign w:val="center"/>
            <w:hideMark/>
          </w:tcPr>
          <w:p w:rsidR="0067797D" w:rsidRPr="00F35FC8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35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4.451</w:t>
            </w:r>
          </w:p>
        </w:tc>
      </w:tr>
    </w:tbl>
    <w:p w:rsidR="0067797D" w:rsidRPr="00F35FC8" w:rsidRDefault="0067797D" w:rsidP="0067797D">
      <w:pPr>
        <w:spacing w:line="480" w:lineRule="auto"/>
        <w:rPr>
          <w:b/>
          <w:bCs/>
        </w:rPr>
      </w:pPr>
    </w:p>
    <w:p w:rsidR="0067797D" w:rsidRPr="00F35FC8" w:rsidRDefault="0067797D" w:rsidP="0067797D">
      <w:pPr>
        <w:spacing w:line="480" w:lineRule="auto"/>
        <w:rPr>
          <w:b/>
          <w:bCs/>
        </w:rPr>
      </w:pPr>
      <w:r w:rsidRPr="00F35FC8">
        <w:rPr>
          <w:b/>
          <w:bCs/>
        </w:rPr>
        <w:t>IMMOBILIZZAZIONI MATERIALI</w:t>
      </w:r>
    </w:p>
    <w:p w:rsidR="0067797D" w:rsidRPr="00F35FC8" w:rsidRDefault="0067797D" w:rsidP="0067797D">
      <w:r w:rsidRPr="00F35FC8">
        <w:t>Costituiscono beni di modico valore:</w:t>
      </w: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120"/>
        <w:gridCol w:w="1000"/>
        <w:gridCol w:w="1500"/>
        <w:gridCol w:w="1000"/>
      </w:tblGrid>
      <w:tr w:rsidR="0067797D" w:rsidRPr="00F35FC8" w:rsidTr="006A5119">
        <w:trPr>
          <w:trHeight w:val="76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99CC" w:fill="CCFFFF"/>
            <w:vAlign w:val="center"/>
            <w:hideMark/>
          </w:tcPr>
          <w:p w:rsidR="0067797D" w:rsidRPr="00F35FC8" w:rsidRDefault="0067797D" w:rsidP="006A5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35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IMMOBILIZZAZIONI MATERIALI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FF99CC" w:fill="CCFFFF"/>
            <w:vAlign w:val="center"/>
            <w:hideMark/>
          </w:tcPr>
          <w:p w:rsidR="0067797D" w:rsidRPr="00F35FC8" w:rsidRDefault="0067797D" w:rsidP="006A5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35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Saldo inizio esercizio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FF99CC" w:fill="CCFFFF"/>
            <w:vAlign w:val="center"/>
            <w:hideMark/>
          </w:tcPr>
          <w:p w:rsidR="0067797D" w:rsidRPr="00F35FC8" w:rsidRDefault="0067797D" w:rsidP="006A5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35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Variazioni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FF99CC" w:fill="CCFFFF"/>
            <w:vAlign w:val="center"/>
            <w:hideMark/>
          </w:tcPr>
          <w:p w:rsidR="0067797D" w:rsidRPr="00F35FC8" w:rsidRDefault="0067797D" w:rsidP="006A5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35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Ammortamento esercizio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FF99CC" w:fill="CCFFFF"/>
            <w:vAlign w:val="center"/>
            <w:hideMark/>
          </w:tcPr>
          <w:p w:rsidR="0067797D" w:rsidRPr="00F35FC8" w:rsidRDefault="0067797D" w:rsidP="006A5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35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Saldo fine esercizio </w:t>
            </w:r>
          </w:p>
        </w:tc>
      </w:tr>
      <w:tr w:rsidR="0067797D" w:rsidRPr="00F35FC8" w:rsidTr="006A511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7D" w:rsidRPr="00F35FC8" w:rsidRDefault="0067797D" w:rsidP="006A5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35FC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Altri beni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D" w:rsidRPr="00F35FC8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35FC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729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D" w:rsidRPr="00F35FC8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D" w:rsidRPr="00F35FC8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35FC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D" w:rsidRPr="00F35FC8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35FC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566</w:t>
            </w:r>
          </w:p>
        </w:tc>
      </w:tr>
      <w:tr w:rsidR="0067797D" w:rsidRPr="00F35FC8" w:rsidTr="006A5119">
        <w:trPr>
          <w:trHeight w:val="4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99CC" w:fill="CCFFFF"/>
            <w:noWrap/>
            <w:vAlign w:val="center"/>
            <w:hideMark/>
          </w:tcPr>
          <w:p w:rsidR="0067797D" w:rsidRPr="00F35FC8" w:rsidRDefault="0067797D" w:rsidP="006A5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35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99CC" w:fill="CCFFFF"/>
            <w:noWrap/>
            <w:vAlign w:val="center"/>
            <w:hideMark/>
          </w:tcPr>
          <w:p w:rsidR="0067797D" w:rsidRPr="00F35FC8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35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                   729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99CC" w:fill="CCFFFF"/>
            <w:noWrap/>
            <w:vAlign w:val="center"/>
            <w:hideMark/>
          </w:tcPr>
          <w:p w:rsidR="0067797D" w:rsidRPr="00F35FC8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99CC" w:fill="CCFFFF"/>
            <w:noWrap/>
            <w:vAlign w:val="center"/>
            <w:hideMark/>
          </w:tcPr>
          <w:p w:rsidR="0067797D" w:rsidRPr="00F35FC8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99CC" w:fill="CCFFFF"/>
            <w:noWrap/>
            <w:vAlign w:val="center"/>
            <w:hideMark/>
          </w:tcPr>
          <w:p w:rsidR="0067797D" w:rsidRPr="00F35FC8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35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566</w:t>
            </w:r>
          </w:p>
        </w:tc>
      </w:tr>
    </w:tbl>
    <w:p w:rsidR="0067797D" w:rsidRPr="00F35FC8" w:rsidRDefault="0067797D" w:rsidP="0067797D"/>
    <w:p w:rsidR="0067797D" w:rsidRPr="00F35FC8" w:rsidRDefault="0067797D" w:rsidP="0067797D">
      <w:pPr>
        <w:rPr>
          <w:b/>
          <w:bCs/>
        </w:rPr>
      </w:pPr>
      <w:r w:rsidRPr="00F35FC8">
        <w:rPr>
          <w:b/>
          <w:bCs/>
        </w:rPr>
        <w:t>IMMOBILIZZAZIONI FINANZIARIE</w:t>
      </w:r>
    </w:p>
    <w:p w:rsidR="0067797D" w:rsidRPr="004A3DA7" w:rsidRDefault="0067797D" w:rsidP="0067797D">
      <w:r w:rsidRPr="004A3DA7">
        <w:t>Non ne risultano.</w:t>
      </w:r>
    </w:p>
    <w:p w:rsidR="0067797D" w:rsidRDefault="0067797D" w:rsidP="0067797D">
      <w:pPr>
        <w:rPr>
          <w:b/>
          <w:bCs/>
        </w:rPr>
      </w:pPr>
    </w:p>
    <w:p w:rsidR="0067797D" w:rsidRPr="004A3DA7" w:rsidRDefault="0067797D" w:rsidP="0067797D">
      <w:pPr>
        <w:rPr>
          <w:b/>
          <w:bCs/>
        </w:rPr>
      </w:pPr>
      <w:r w:rsidRPr="004A3DA7">
        <w:rPr>
          <w:b/>
          <w:bCs/>
        </w:rPr>
        <w:t>C) ATTIVO CIRCOLANTE</w:t>
      </w:r>
    </w:p>
    <w:p w:rsidR="0067797D" w:rsidRPr="004A3DA7" w:rsidRDefault="0067797D" w:rsidP="0067797D">
      <w:pPr>
        <w:rPr>
          <w:b/>
          <w:bCs/>
        </w:rPr>
      </w:pPr>
      <w:r w:rsidRPr="004A3DA7">
        <w:rPr>
          <w:b/>
          <w:bCs/>
        </w:rPr>
        <w:t>IV° DISPONIBILITA’ LIQUIDE</w:t>
      </w:r>
    </w:p>
    <w:p w:rsidR="0067797D" w:rsidRPr="004A3DA7" w:rsidRDefault="0067797D" w:rsidP="0067797D">
      <w:r w:rsidRPr="004A3DA7">
        <w:t xml:space="preserve">Sono riferibili al saldo del conto bancario presso </w:t>
      </w:r>
      <w:r>
        <w:t>Uni Banca e Banca Intesa</w:t>
      </w:r>
      <w:r w:rsidRPr="004A3DA7">
        <w:t>.</w:t>
      </w:r>
    </w:p>
    <w:p w:rsidR="0067797D" w:rsidRDefault="0067797D" w:rsidP="0067797D">
      <w:r w:rsidRPr="004A3DA7">
        <w:t>Il saldo indicato è uguale a quello comunicato dalla banca a mezzo e/c bancario</w:t>
      </w:r>
      <w:r>
        <w:t>:</w:t>
      </w:r>
    </w:p>
    <w:tbl>
      <w:tblPr>
        <w:tblW w:w="5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8"/>
        <w:gridCol w:w="1391"/>
        <w:gridCol w:w="996"/>
        <w:gridCol w:w="1335"/>
      </w:tblGrid>
      <w:tr w:rsidR="0067797D" w:rsidRPr="00171602" w:rsidTr="006A5119">
        <w:trPr>
          <w:trHeight w:val="765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99CC" w:fill="CCFFFF"/>
            <w:vAlign w:val="center"/>
            <w:hideMark/>
          </w:tcPr>
          <w:p w:rsidR="0067797D" w:rsidRPr="00171602" w:rsidRDefault="0067797D" w:rsidP="006A5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71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lastRenderedPageBreak/>
              <w:t>DISPONIBILITA' LIQUIDE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FF99CC" w:fill="CCFFFF"/>
            <w:vAlign w:val="center"/>
          </w:tcPr>
          <w:p w:rsidR="0067797D" w:rsidRPr="00171602" w:rsidRDefault="0067797D" w:rsidP="006A5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FF99CC" w:fill="CCFFFF"/>
            <w:vAlign w:val="center"/>
          </w:tcPr>
          <w:p w:rsidR="0067797D" w:rsidRPr="00171602" w:rsidRDefault="0067797D" w:rsidP="006A5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FF99CC" w:fill="CCFFFF"/>
            <w:vAlign w:val="center"/>
            <w:hideMark/>
          </w:tcPr>
          <w:p w:rsidR="0067797D" w:rsidRPr="00171602" w:rsidRDefault="0067797D" w:rsidP="006A5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71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Saldo alla fine dell'esercizio </w:t>
            </w:r>
          </w:p>
        </w:tc>
      </w:tr>
      <w:tr w:rsidR="0067797D" w:rsidRPr="00171602" w:rsidTr="006A5119">
        <w:trPr>
          <w:trHeight w:val="30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7D" w:rsidRPr="00171602" w:rsidRDefault="0067797D" w:rsidP="006A5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7160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Ubi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97D" w:rsidRPr="00171602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97D" w:rsidRPr="00171602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7D" w:rsidRPr="00171602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7160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2.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886</w:t>
            </w:r>
          </w:p>
        </w:tc>
      </w:tr>
      <w:tr w:rsidR="0067797D" w:rsidRPr="00171602" w:rsidTr="006A5119">
        <w:trPr>
          <w:trHeight w:val="30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7D" w:rsidRPr="00171602" w:rsidRDefault="0067797D" w:rsidP="006A5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7160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Banca intesa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97D" w:rsidRPr="00171602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97D" w:rsidRPr="00171602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7D" w:rsidRPr="00171602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296.711</w:t>
            </w:r>
          </w:p>
        </w:tc>
      </w:tr>
      <w:tr w:rsidR="0067797D" w:rsidRPr="00171602" w:rsidTr="006A5119">
        <w:trPr>
          <w:trHeight w:val="465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99CC" w:fill="CCFFFF"/>
            <w:noWrap/>
            <w:vAlign w:val="center"/>
            <w:hideMark/>
          </w:tcPr>
          <w:p w:rsidR="0067797D" w:rsidRPr="00171602" w:rsidRDefault="0067797D" w:rsidP="006A5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71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99CC" w:fill="CCFFFF"/>
            <w:noWrap/>
            <w:vAlign w:val="center"/>
          </w:tcPr>
          <w:p w:rsidR="0067797D" w:rsidRPr="00171602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99CC" w:fill="CCFFFF"/>
            <w:noWrap/>
            <w:vAlign w:val="center"/>
          </w:tcPr>
          <w:p w:rsidR="0067797D" w:rsidRPr="00171602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99CC" w:fill="CCFFFF"/>
            <w:noWrap/>
            <w:vAlign w:val="center"/>
            <w:hideMark/>
          </w:tcPr>
          <w:p w:rsidR="0067797D" w:rsidRPr="00171602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299.597</w:t>
            </w:r>
          </w:p>
        </w:tc>
      </w:tr>
    </w:tbl>
    <w:p w:rsidR="0067797D" w:rsidRDefault="0067797D" w:rsidP="0067797D"/>
    <w:p w:rsidR="0067797D" w:rsidRPr="004A3DA7" w:rsidRDefault="0067797D" w:rsidP="0067797D">
      <w:pPr>
        <w:rPr>
          <w:b/>
          <w:bCs/>
        </w:rPr>
      </w:pPr>
      <w:r w:rsidRPr="004A3DA7">
        <w:rPr>
          <w:b/>
          <w:bCs/>
        </w:rPr>
        <w:t>PASSIVO</w:t>
      </w:r>
    </w:p>
    <w:p w:rsidR="0067797D" w:rsidRPr="004A3DA7" w:rsidRDefault="0067797D" w:rsidP="0067797D">
      <w:pPr>
        <w:rPr>
          <w:b/>
          <w:bCs/>
        </w:rPr>
      </w:pPr>
      <w:r w:rsidRPr="004A3DA7">
        <w:rPr>
          <w:b/>
          <w:bCs/>
        </w:rPr>
        <w:t>A) PATRIMONIO NETTO</w:t>
      </w:r>
    </w:p>
    <w:p w:rsidR="0067797D" w:rsidRPr="004A3DA7" w:rsidRDefault="0067797D" w:rsidP="0067797D">
      <w:pPr>
        <w:spacing w:line="480" w:lineRule="auto"/>
        <w:jc w:val="both"/>
      </w:pPr>
      <w:r w:rsidRPr="004A3DA7">
        <w:t>Essendo la Fondazione una persona giuridica esiste il fondo di dotazione.</w:t>
      </w:r>
    </w:p>
    <w:p w:rsidR="0067797D" w:rsidRDefault="0067797D" w:rsidP="0067797D">
      <w:pPr>
        <w:spacing w:line="480" w:lineRule="auto"/>
        <w:jc w:val="both"/>
      </w:pPr>
      <w:r w:rsidRPr="004A3DA7">
        <w:t>Il fondo di dotazione complessivo della Fondazione a fine 201</w:t>
      </w:r>
      <w:r>
        <w:t>9</w:t>
      </w:r>
      <w:r w:rsidRPr="004A3DA7">
        <w:t xml:space="preserve"> risulta essere pari a €</w:t>
      </w:r>
      <w:r>
        <w:t xml:space="preserve"> 240.000</w:t>
      </w:r>
      <w:r w:rsidRPr="004A3DA7">
        <w:t>,00, rappresentato dai conferimenti effettuati in sede di atto costitutivo, come rilevato</w:t>
      </w:r>
      <w:r>
        <w:t xml:space="preserve"> </w:t>
      </w:r>
      <w:r w:rsidRPr="004A3DA7">
        <w:t>dall’atto di costituzione.</w:t>
      </w:r>
    </w:p>
    <w:tbl>
      <w:tblPr>
        <w:tblW w:w="6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120"/>
        <w:gridCol w:w="1000"/>
        <w:gridCol w:w="1000"/>
      </w:tblGrid>
      <w:tr w:rsidR="0067797D" w:rsidRPr="00D14311" w:rsidTr="006A5119">
        <w:trPr>
          <w:trHeight w:val="76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99CC" w:fill="CCFFFF"/>
            <w:vAlign w:val="center"/>
            <w:hideMark/>
          </w:tcPr>
          <w:p w:rsidR="0067797D" w:rsidRPr="00D14311" w:rsidRDefault="0067797D" w:rsidP="006A5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D14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VOCI DI PATRIMONIO NETTO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FF99CC" w:fill="CCFFFF"/>
            <w:vAlign w:val="center"/>
            <w:hideMark/>
          </w:tcPr>
          <w:p w:rsidR="0067797D" w:rsidRPr="00D14311" w:rsidRDefault="0067797D" w:rsidP="006A5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D14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Saldo inizio esercizio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FF99CC" w:fill="CCFFFF"/>
            <w:vAlign w:val="center"/>
            <w:hideMark/>
          </w:tcPr>
          <w:p w:rsidR="0067797D" w:rsidRPr="00D14311" w:rsidRDefault="0067797D" w:rsidP="006A5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D14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Variazioni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FF99CC" w:fill="CCFFFF"/>
            <w:vAlign w:val="center"/>
            <w:hideMark/>
          </w:tcPr>
          <w:p w:rsidR="0067797D" w:rsidRPr="00D14311" w:rsidRDefault="0067797D" w:rsidP="006A5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D14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Saldo fine esercizio </w:t>
            </w:r>
          </w:p>
        </w:tc>
      </w:tr>
      <w:tr w:rsidR="0067797D" w:rsidRPr="00D14311" w:rsidTr="006A511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D" w:rsidRPr="00D14311" w:rsidRDefault="0067797D" w:rsidP="006A5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1431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Fondo di dotazione indisponibile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D" w:rsidRPr="00D14311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1431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40.000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7D" w:rsidRPr="00D14311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D" w:rsidRPr="00D14311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1431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40.000</w:t>
            </w:r>
          </w:p>
        </w:tc>
      </w:tr>
      <w:tr w:rsidR="0067797D" w:rsidRPr="00D14311" w:rsidTr="006A511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D" w:rsidRPr="00D14311" w:rsidRDefault="0067797D" w:rsidP="006A5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1431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Fondo di gestione disponibile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D" w:rsidRPr="00D14311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1431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200.000</w:t>
            </w:r>
            <w:r w:rsidRPr="00D1431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7D" w:rsidRPr="00D14311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D" w:rsidRPr="00D14311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1431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200.000 </w:t>
            </w:r>
          </w:p>
        </w:tc>
      </w:tr>
      <w:tr w:rsidR="0067797D" w:rsidRPr="00D14311" w:rsidTr="006A511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D" w:rsidRPr="00D14311" w:rsidRDefault="0067797D" w:rsidP="006A5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1431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Avanzo di ges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</w:t>
            </w:r>
            <w:r w:rsidRPr="00D1431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ione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esercizio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D" w:rsidRPr="00D14311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113.978</w:t>
            </w:r>
            <w:r w:rsidRPr="00D1431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7D" w:rsidRPr="00D14311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D" w:rsidRPr="00D14311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1431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113.978</w:t>
            </w:r>
          </w:p>
        </w:tc>
      </w:tr>
      <w:tr w:rsidR="0067797D" w:rsidRPr="00D14311" w:rsidTr="006A511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7D" w:rsidRPr="00D14311" w:rsidRDefault="0067797D" w:rsidP="006A5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Disavanzo di gestione 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7D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7D" w:rsidRPr="00D14311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7D" w:rsidRPr="00D14311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-59.083</w:t>
            </w:r>
          </w:p>
        </w:tc>
      </w:tr>
      <w:tr w:rsidR="0067797D" w:rsidRPr="00D14311" w:rsidTr="006A5119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99CC" w:fill="CCFFFF"/>
            <w:noWrap/>
            <w:vAlign w:val="center"/>
            <w:hideMark/>
          </w:tcPr>
          <w:p w:rsidR="0067797D" w:rsidRPr="00D14311" w:rsidRDefault="0067797D" w:rsidP="006A5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D14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99CC" w:fill="CCFFFF"/>
            <w:noWrap/>
            <w:vAlign w:val="center"/>
            <w:hideMark/>
          </w:tcPr>
          <w:p w:rsidR="0067797D" w:rsidRPr="00D14311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D14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                  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353.978</w:t>
            </w:r>
            <w:r w:rsidRPr="00D14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99CC" w:fill="CCFFFF"/>
            <w:noWrap/>
            <w:vAlign w:val="center"/>
            <w:hideMark/>
          </w:tcPr>
          <w:p w:rsidR="0067797D" w:rsidRPr="00D14311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99CC" w:fill="CCFFFF"/>
            <w:noWrap/>
            <w:vAlign w:val="center"/>
            <w:hideMark/>
          </w:tcPr>
          <w:p w:rsidR="0067797D" w:rsidRPr="00D14311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294.895</w:t>
            </w:r>
          </w:p>
        </w:tc>
      </w:tr>
    </w:tbl>
    <w:p w:rsidR="0067797D" w:rsidRPr="004A3DA7" w:rsidRDefault="0067797D" w:rsidP="0067797D">
      <w:pPr>
        <w:jc w:val="both"/>
      </w:pPr>
    </w:p>
    <w:p w:rsidR="0067797D" w:rsidRPr="004A3DA7" w:rsidRDefault="0067797D" w:rsidP="0067797D">
      <w:pPr>
        <w:rPr>
          <w:b/>
          <w:bCs/>
        </w:rPr>
      </w:pPr>
      <w:r w:rsidRPr="004A3DA7">
        <w:rPr>
          <w:b/>
          <w:bCs/>
        </w:rPr>
        <w:t>RENDICONTO ECONOMICO DELLA GESTIONE</w:t>
      </w:r>
    </w:p>
    <w:p w:rsidR="0067797D" w:rsidRPr="004A3DA7" w:rsidRDefault="0067797D" w:rsidP="0067797D">
      <w:pPr>
        <w:rPr>
          <w:b/>
          <w:bCs/>
        </w:rPr>
      </w:pPr>
      <w:r w:rsidRPr="004A3DA7">
        <w:rPr>
          <w:b/>
          <w:bCs/>
        </w:rPr>
        <w:t>A) PROVENTI</w:t>
      </w:r>
    </w:p>
    <w:p w:rsidR="0067797D" w:rsidRPr="004A3DA7" w:rsidRDefault="0067797D" w:rsidP="0067797D">
      <w:r w:rsidRPr="004A3DA7">
        <w:t>I proventi di cassa e di natura istituzionale che Fondazione ha realizzato nel corso del 201</w:t>
      </w:r>
      <w:r>
        <w:t>9</w:t>
      </w:r>
    </w:p>
    <w:p w:rsidR="0067797D" w:rsidRDefault="0067797D" w:rsidP="0067797D">
      <w:r w:rsidRPr="004A3DA7">
        <w:t>sono pari a</w:t>
      </w:r>
      <w:r>
        <w:t xml:space="preserve"> € 65.000</w:t>
      </w:r>
      <w:r w:rsidRPr="004A3DA7">
        <w:t xml:space="preserve">, relativi a </w:t>
      </w:r>
      <w:r>
        <w:t>erogazioni</w:t>
      </w:r>
      <w:r w:rsidRPr="004A3DA7">
        <w:t xml:space="preserve"> liberal</w:t>
      </w:r>
      <w:r>
        <w:t>i</w:t>
      </w:r>
      <w:r w:rsidRPr="004A3DA7">
        <w:t xml:space="preserve"> ricevut</w:t>
      </w:r>
      <w:r>
        <w:t>e</w:t>
      </w:r>
      <w:r w:rsidRPr="004A3DA7">
        <w:t>.</w:t>
      </w:r>
    </w:p>
    <w:p w:rsidR="0067797D" w:rsidRDefault="0067797D" w:rsidP="0067797D"/>
    <w:tbl>
      <w:tblPr>
        <w:tblW w:w="7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6"/>
        <w:gridCol w:w="1117"/>
        <w:gridCol w:w="1101"/>
        <w:gridCol w:w="1059"/>
      </w:tblGrid>
      <w:tr w:rsidR="0067797D" w:rsidRPr="00C2073F" w:rsidTr="006A5119">
        <w:trPr>
          <w:trHeight w:val="76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99CC" w:fill="CCFFFF"/>
            <w:vAlign w:val="center"/>
            <w:hideMark/>
          </w:tcPr>
          <w:p w:rsidR="0067797D" w:rsidRPr="00C2073F" w:rsidRDefault="0067797D" w:rsidP="006A5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207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CATEGORIA RICAVI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FF99CC" w:fill="CCFFFF"/>
            <w:vAlign w:val="center"/>
            <w:hideMark/>
          </w:tcPr>
          <w:p w:rsidR="0067797D" w:rsidRPr="00C2073F" w:rsidRDefault="0067797D" w:rsidP="006A5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207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Esercizio in corso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FF99CC" w:fill="CCFFFF"/>
            <w:vAlign w:val="center"/>
            <w:hideMark/>
          </w:tcPr>
          <w:p w:rsidR="0067797D" w:rsidRPr="00C2073F" w:rsidRDefault="0067797D" w:rsidP="006A5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207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Esercizio precedente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FF99CC" w:fill="CCFFFF"/>
            <w:vAlign w:val="center"/>
            <w:hideMark/>
          </w:tcPr>
          <w:p w:rsidR="0067797D" w:rsidRPr="00C2073F" w:rsidRDefault="0067797D" w:rsidP="006A5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207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Variazione esercizio </w:t>
            </w:r>
          </w:p>
        </w:tc>
      </w:tr>
      <w:tr w:rsidR="0067797D" w:rsidRPr="00C2073F" w:rsidTr="006A5119">
        <w:trPr>
          <w:trHeight w:val="30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D" w:rsidRPr="00C2073F" w:rsidRDefault="0067797D" w:rsidP="006A5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207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 contributi su progetti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D" w:rsidRPr="00C2073F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65..000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D" w:rsidRPr="00C2073F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207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31.500</w:t>
            </w:r>
            <w:r w:rsidRPr="00C207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D" w:rsidRPr="00C2073F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207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  <w:r w:rsidRPr="00C207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.500</w:t>
            </w:r>
          </w:p>
        </w:tc>
      </w:tr>
      <w:tr w:rsidR="0067797D" w:rsidRPr="00C2073F" w:rsidTr="006A5119">
        <w:trPr>
          <w:trHeight w:val="30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D" w:rsidRPr="00C2073F" w:rsidRDefault="0067797D" w:rsidP="006A5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207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Progetto ricer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</w:t>
            </w:r>
            <w:r w:rsidRPr="00C207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 risk management ambito ospedaliero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D" w:rsidRPr="00C2073F" w:rsidRDefault="0067797D" w:rsidP="006A5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D" w:rsidRPr="00C2073F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207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240.000</w:t>
            </w:r>
            <w:r w:rsidRPr="00C207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D" w:rsidRPr="00C2073F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  <w:r w:rsidRPr="00C207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240.000</w:t>
            </w:r>
          </w:p>
        </w:tc>
      </w:tr>
      <w:tr w:rsidR="0067797D" w:rsidRPr="00C2073F" w:rsidTr="006A5119">
        <w:trPr>
          <w:trHeight w:val="46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99CC" w:fill="CCFFFF"/>
            <w:noWrap/>
            <w:vAlign w:val="center"/>
            <w:hideMark/>
          </w:tcPr>
          <w:p w:rsidR="0067797D" w:rsidRPr="00C2073F" w:rsidRDefault="0067797D" w:rsidP="006A5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207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99CC" w:fill="CCFFFF"/>
            <w:noWrap/>
            <w:vAlign w:val="center"/>
            <w:hideMark/>
          </w:tcPr>
          <w:p w:rsidR="0067797D" w:rsidRPr="00C2073F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65.000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99CC" w:fill="CCFFFF"/>
            <w:noWrap/>
            <w:vAlign w:val="center"/>
            <w:hideMark/>
          </w:tcPr>
          <w:p w:rsidR="0067797D" w:rsidRPr="00C2073F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207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                  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271.500</w:t>
            </w:r>
            <w:r w:rsidRPr="00C207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99CC" w:fill="CCFFFF"/>
            <w:noWrap/>
            <w:vAlign w:val="center"/>
          </w:tcPr>
          <w:p w:rsidR="0067797D" w:rsidRPr="00C2073F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:rsidR="0067797D" w:rsidRDefault="0067797D" w:rsidP="0067797D"/>
    <w:p w:rsidR="0067797D" w:rsidRDefault="0067797D" w:rsidP="0067797D"/>
    <w:p w:rsidR="0067797D" w:rsidRDefault="0067797D" w:rsidP="0067797D"/>
    <w:p w:rsidR="0067797D" w:rsidRPr="004A3DA7" w:rsidRDefault="0067797D" w:rsidP="0067797D">
      <w:pPr>
        <w:rPr>
          <w:b/>
          <w:bCs/>
        </w:rPr>
      </w:pPr>
      <w:r w:rsidRPr="004A3DA7">
        <w:rPr>
          <w:b/>
          <w:bCs/>
        </w:rPr>
        <w:lastRenderedPageBreak/>
        <w:t>B) ONERI</w:t>
      </w:r>
    </w:p>
    <w:p w:rsidR="0067797D" w:rsidRDefault="0067797D" w:rsidP="0067797D">
      <w:pPr>
        <w:spacing w:line="480" w:lineRule="auto"/>
      </w:pPr>
      <w:r>
        <w:t>Gli oneri, come indicato nel rendiconto gestionale sono principalmente costituiti da oneri per attività tipiche e vengono per intero descritti nello schema seguente:</w:t>
      </w:r>
    </w:p>
    <w:p w:rsidR="0067797D" w:rsidRDefault="0067797D" w:rsidP="0067797D">
      <w:pPr>
        <w:spacing w:line="480" w:lineRule="auto"/>
      </w:pPr>
    </w:p>
    <w:tbl>
      <w:tblPr>
        <w:tblW w:w="4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351"/>
      </w:tblGrid>
      <w:tr w:rsidR="0067797D" w:rsidRPr="00A95ADC" w:rsidTr="006A5119">
        <w:trPr>
          <w:trHeight w:val="9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99CC" w:fill="CCFFFF"/>
            <w:noWrap/>
            <w:vAlign w:val="center"/>
            <w:hideMark/>
          </w:tcPr>
          <w:p w:rsidR="0067797D" w:rsidRPr="00A95ADC" w:rsidRDefault="0067797D" w:rsidP="006A5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5A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Costi della produzione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FF99CC" w:fill="CCFFFF"/>
            <w:noWrap/>
            <w:vAlign w:val="center"/>
            <w:hideMark/>
          </w:tcPr>
          <w:p w:rsidR="0067797D" w:rsidRPr="00A95ADC" w:rsidRDefault="0067797D" w:rsidP="006A5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5A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Saldo Corrente </w:t>
            </w:r>
          </w:p>
        </w:tc>
      </w:tr>
      <w:tr w:rsidR="0067797D" w:rsidRPr="00C573F8" w:rsidTr="006A5119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D" w:rsidRPr="00326ECB" w:rsidRDefault="0067797D" w:rsidP="006A5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6EC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Acquisti di cancelleria – spese ufficio      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7D" w:rsidRPr="00326ECB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6EC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472</w:t>
            </w:r>
          </w:p>
        </w:tc>
      </w:tr>
      <w:tr w:rsidR="0067797D" w:rsidRPr="00C573F8" w:rsidTr="006A5119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D" w:rsidRPr="00326ECB" w:rsidRDefault="0067797D" w:rsidP="006A5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6EC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 ricerca e studi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7D" w:rsidRPr="00326ECB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6EC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18.540</w:t>
            </w:r>
          </w:p>
        </w:tc>
      </w:tr>
      <w:tr w:rsidR="0067797D" w:rsidRPr="00A95ADC" w:rsidTr="006A5119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D" w:rsidRPr="00326ECB" w:rsidRDefault="0067797D" w:rsidP="006A5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6EC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Erogazioni per servizi informazione e consulenza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7D" w:rsidRPr="00326ECB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6EC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30.000</w:t>
            </w:r>
          </w:p>
        </w:tc>
      </w:tr>
      <w:tr w:rsidR="0067797D" w:rsidRPr="00A95ADC" w:rsidTr="006A5119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D" w:rsidRPr="00326ECB" w:rsidRDefault="0067797D" w:rsidP="006A5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6EC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Rimborsi spese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7D" w:rsidRPr="00326ECB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6EC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759</w:t>
            </w:r>
          </w:p>
        </w:tc>
      </w:tr>
      <w:tr w:rsidR="0067797D" w:rsidRPr="00A95ADC" w:rsidTr="006A5119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D" w:rsidRPr="00326ECB" w:rsidRDefault="0067797D" w:rsidP="006A5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326EC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Attivita'</w:t>
            </w:r>
            <w:proofErr w:type="spellEnd"/>
            <w:r w:rsidRPr="00326EC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ordinaria di promozione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7D" w:rsidRPr="00326ECB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6EC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7.120</w:t>
            </w:r>
          </w:p>
        </w:tc>
      </w:tr>
      <w:tr w:rsidR="0067797D" w:rsidRPr="00A95ADC" w:rsidTr="006A5119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D" w:rsidRPr="00326ECB" w:rsidRDefault="0067797D" w:rsidP="006A5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6EC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Consulenze contabili e fiscali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7D" w:rsidRPr="00326ECB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6EC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8.293</w:t>
            </w:r>
          </w:p>
        </w:tc>
      </w:tr>
      <w:tr w:rsidR="0067797D" w:rsidRPr="00A95ADC" w:rsidTr="006A5119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D" w:rsidRPr="00326ECB" w:rsidRDefault="0067797D" w:rsidP="006A5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326EC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Consulenze  varie</w:t>
            </w:r>
            <w:proofErr w:type="gramEnd"/>
            <w:r w:rsidRPr="00326EC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/legali/notarili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7D" w:rsidRPr="00326ECB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6EC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634</w:t>
            </w:r>
          </w:p>
        </w:tc>
      </w:tr>
      <w:tr w:rsidR="0067797D" w:rsidRPr="00A95ADC" w:rsidTr="006A5119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D" w:rsidRPr="00326ECB" w:rsidRDefault="0067797D" w:rsidP="006A5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6EC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Spese per alberghi e ristoranti – partecipazione Congressi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7D" w:rsidRPr="00326ECB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6EC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7.013</w:t>
            </w:r>
          </w:p>
        </w:tc>
      </w:tr>
      <w:tr w:rsidR="0067797D" w:rsidRPr="00A95ADC" w:rsidTr="006A5119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D" w:rsidRPr="00A95ADC" w:rsidRDefault="0067797D" w:rsidP="006A5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A95AD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Spese per software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7D" w:rsidRPr="00A95ADC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85</w:t>
            </w:r>
          </w:p>
        </w:tc>
      </w:tr>
      <w:tr w:rsidR="0067797D" w:rsidRPr="00A95ADC" w:rsidTr="006A5119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D" w:rsidRPr="00A95ADC" w:rsidRDefault="0067797D" w:rsidP="006A5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A95AD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Spese telefoniche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7D" w:rsidRPr="00A95ADC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1.068</w:t>
            </w:r>
          </w:p>
        </w:tc>
      </w:tr>
      <w:tr w:rsidR="0067797D" w:rsidRPr="00A95ADC" w:rsidTr="006A5119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D" w:rsidRPr="00A95ADC" w:rsidRDefault="0067797D" w:rsidP="006A5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A95AD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Competenze collaboratori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7D" w:rsidRPr="00A95ADC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41.760</w:t>
            </w:r>
          </w:p>
        </w:tc>
      </w:tr>
      <w:tr w:rsidR="0067797D" w:rsidRPr="00A95ADC" w:rsidTr="006A5119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D" w:rsidRPr="00A95ADC" w:rsidRDefault="0067797D" w:rsidP="006A5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A95AD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Commissioni bancarie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7D" w:rsidRPr="00A95ADC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</w:t>
            </w:r>
          </w:p>
        </w:tc>
      </w:tr>
      <w:tr w:rsidR="0067797D" w:rsidRPr="00A95ADC" w:rsidTr="006A5119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D" w:rsidRPr="00A95ADC" w:rsidRDefault="0067797D" w:rsidP="006A5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A95AD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Affitti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sede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7D" w:rsidRPr="00A95ADC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5.089</w:t>
            </w:r>
          </w:p>
        </w:tc>
      </w:tr>
      <w:tr w:rsidR="0067797D" w:rsidRPr="00A95ADC" w:rsidTr="006A5119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D" w:rsidRPr="00A95ADC" w:rsidRDefault="0067797D" w:rsidP="006A5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A95AD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Ammortament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7D" w:rsidRPr="00A95ADC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1.279</w:t>
            </w:r>
          </w:p>
        </w:tc>
      </w:tr>
      <w:tr w:rsidR="0067797D" w:rsidRPr="00A95ADC" w:rsidTr="006A5119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D" w:rsidRPr="00A95ADC" w:rsidRDefault="0067797D" w:rsidP="006A5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Tassa rifiuti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7D" w:rsidRPr="00A95ADC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372</w:t>
            </w:r>
          </w:p>
        </w:tc>
      </w:tr>
      <w:tr w:rsidR="0067797D" w:rsidRPr="00A95ADC" w:rsidTr="006A5119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D" w:rsidRPr="00A95ADC" w:rsidRDefault="0067797D" w:rsidP="006A5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A95AD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Imposte di bollo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7D" w:rsidRPr="00A95ADC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193</w:t>
            </w:r>
          </w:p>
        </w:tc>
      </w:tr>
      <w:tr w:rsidR="0067797D" w:rsidRPr="00A95ADC" w:rsidTr="006A5119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D" w:rsidRPr="00A95ADC" w:rsidRDefault="0067797D" w:rsidP="006A5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A95AD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Arrotondamenti passivi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7D" w:rsidRPr="00A95ADC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</w:tr>
      <w:tr w:rsidR="0067797D" w:rsidRPr="00A95ADC" w:rsidTr="006A5119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D" w:rsidRPr="00A95ADC" w:rsidRDefault="0067797D" w:rsidP="006A5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irap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7D" w:rsidRPr="00A95ADC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1.320</w:t>
            </w:r>
          </w:p>
        </w:tc>
      </w:tr>
      <w:tr w:rsidR="0067797D" w:rsidRPr="00A95ADC" w:rsidTr="006A5119">
        <w:trPr>
          <w:trHeight w:val="6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99CC" w:fill="CCFFFF"/>
            <w:noWrap/>
            <w:vAlign w:val="center"/>
            <w:hideMark/>
          </w:tcPr>
          <w:p w:rsidR="0067797D" w:rsidRPr="00A95ADC" w:rsidRDefault="0067797D" w:rsidP="006A5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5A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TOTALI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99CC" w:fill="CCFFFF"/>
            <w:noWrap/>
            <w:vAlign w:val="center"/>
            <w:hideMark/>
          </w:tcPr>
          <w:p w:rsidR="0067797D" w:rsidRPr="00A95ADC" w:rsidRDefault="0067797D" w:rsidP="006A5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124.119</w:t>
            </w:r>
          </w:p>
        </w:tc>
      </w:tr>
    </w:tbl>
    <w:p w:rsidR="0067797D" w:rsidRDefault="0067797D" w:rsidP="0067797D"/>
    <w:p w:rsidR="0067797D" w:rsidRDefault="0067797D" w:rsidP="0067797D">
      <w:r>
        <w:t xml:space="preserve">Sono presenti costi per servizi e informazioni </w:t>
      </w:r>
      <w:proofErr w:type="gramStart"/>
      <w:r>
        <w:t>-  consulenza</w:t>
      </w:r>
      <w:proofErr w:type="gramEnd"/>
      <w:r>
        <w:t xml:space="preserve"> - formazione bandi sanitari.</w:t>
      </w:r>
    </w:p>
    <w:p w:rsidR="0067797D" w:rsidRDefault="0067797D" w:rsidP="0067797D">
      <w:r>
        <w:t xml:space="preserve">Si specifica che nei progetti di ricerca figura la nostra partecipazione per la realizzazione Osservatorio </w:t>
      </w:r>
      <w:proofErr w:type="spellStart"/>
      <w:proofErr w:type="gramStart"/>
      <w:r>
        <w:t>Cergas</w:t>
      </w:r>
      <w:proofErr w:type="spellEnd"/>
      <w:r>
        <w:t xml:space="preserve">  SDA</w:t>
      </w:r>
      <w:proofErr w:type="gramEnd"/>
      <w:r>
        <w:t xml:space="preserve"> – Bocconi su assistenza accreditata Lombarda anni 2017/2018  e  ricerca, studio programma esiti -</w:t>
      </w:r>
      <w:r w:rsidRPr="00464D32">
        <w:rPr>
          <w:rFonts w:eastAsia="Times New Roman" w:cstheme="minorHAnsi"/>
        </w:rPr>
        <w:t xml:space="preserve"> analisi di indicatori di </w:t>
      </w:r>
      <w:proofErr w:type="spellStart"/>
      <w:r w:rsidRPr="00464D32">
        <w:rPr>
          <w:rFonts w:eastAsia="Times New Roman" w:cstheme="minorHAnsi"/>
        </w:rPr>
        <w:t>outcome</w:t>
      </w:r>
      <w:proofErr w:type="spellEnd"/>
      <w:r>
        <w:rPr>
          <w:rFonts w:eastAsia="Times New Roman" w:cstheme="minorHAnsi"/>
        </w:rPr>
        <w:t xml:space="preserve"> sanità  in Lombardia anno 2017.</w:t>
      </w:r>
    </w:p>
    <w:p w:rsidR="0067797D" w:rsidRPr="004A3DA7" w:rsidRDefault="0067797D" w:rsidP="0067797D">
      <w:r w:rsidRPr="004A3DA7">
        <w:t>Non esistono oneri e proventi finanziari.</w:t>
      </w:r>
    </w:p>
    <w:p w:rsidR="0067797D" w:rsidRPr="004A3DA7" w:rsidRDefault="0067797D" w:rsidP="0067797D">
      <w:pPr>
        <w:rPr>
          <w:b/>
          <w:bCs/>
        </w:rPr>
      </w:pPr>
      <w:r w:rsidRPr="004A3DA7">
        <w:rPr>
          <w:b/>
          <w:bCs/>
        </w:rPr>
        <w:t>IMPOSTE E ALTRE INFORMAZIONI</w:t>
      </w:r>
    </w:p>
    <w:p w:rsidR="0067797D" w:rsidRPr="004A3DA7" w:rsidRDefault="0067797D" w:rsidP="0067797D">
      <w:r w:rsidRPr="004A3DA7">
        <w:t>Si conclude la presente nota integrativa assicurando che il presente rendiconto di cassa</w:t>
      </w:r>
    </w:p>
    <w:p w:rsidR="0067797D" w:rsidRPr="004A3DA7" w:rsidRDefault="0067797D" w:rsidP="0067797D">
      <w:r w:rsidRPr="004A3DA7">
        <w:t>rappresenta con chiarezza, e in modo veritiero e corretto, la situazione finanziaria della</w:t>
      </w:r>
    </w:p>
    <w:p w:rsidR="0067797D" w:rsidRPr="004A3DA7" w:rsidRDefault="0067797D" w:rsidP="0067797D">
      <w:r w:rsidRPr="004A3DA7">
        <w:t>Fondazione, nonché il risultato economico dell’esercizio.</w:t>
      </w:r>
    </w:p>
    <w:p w:rsidR="0067797D" w:rsidRPr="004A3DA7" w:rsidRDefault="0067797D" w:rsidP="0067797D">
      <w:r w:rsidRPr="004A3DA7">
        <w:t>Vi invitiamo pertanto ad approvare il rendiconto d’esercizio chiuso al 31.12.201</w:t>
      </w:r>
      <w:r>
        <w:t>9</w:t>
      </w:r>
      <w:r w:rsidRPr="004A3DA7">
        <w:t xml:space="preserve"> come</w:t>
      </w:r>
    </w:p>
    <w:p w:rsidR="0067797D" w:rsidRPr="004A3DA7" w:rsidRDefault="0067797D" w:rsidP="0067797D">
      <w:r w:rsidRPr="004A3DA7">
        <w:lastRenderedPageBreak/>
        <w:t xml:space="preserve">presentatovi e a deliberare </w:t>
      </w:r>
      <w:r>
        <w:t>in merito alla perdita riscontrata di €59.083</w:t>
      </w:r>
      <w:r w:rsidRPr="004A3DA7">
        <w:t>.</w:t>
      </w:r>
    </w:p>
    <w:p w:rsidR="0067797D" w:rsidRPr="004A3DA7" w:rsidRDefault="0067797D" w:rsidP="0067797D">
      <w:r w:rsidRPr="004A3DA7">
        <w:t>L’attività sviluppata nel corso dell’anno ha rispettato i principi relativi alle Fondazioni senza</w:t>
      </w:r>
    </w:p>
    <w:p w:rsidR="0067797D" w:rsidRPr="004A3DA7" w:rsidRDefault="0067797D" w:rsidP="0067797D">
      <w:r w:rsidRPr="004A3DA7">
        <w:t>scopo di lucro nonché gli scopi sociali come da statuto della Fondazione.</w:t>
      </w:r>
    </w:p>
    <w:p w:rsidR="0067797D" w:rsidRDefault="0067797D" w:rsidP="0067797D">
      <w:r w:rsidRPr="004A3DA7">
        <w:t>IL PRESIDENTE</w:t>
      </w:r>
    </w:p>
    <w:p w:rsidR="00714883" w:rsidRDefault="00714883"/>
    <w:sectPr w:rsidR="007148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7D"/>
    <w:rsid w:val="002F1DA6"/>
    <w:rsid w:val="0067797D"/>
    <w:rsid w:val="00714883"/>
    <w:rsid w:val="0088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64852-A5A1-491E-8AAF-220E3F0E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79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910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2020-04-20T10:00:00Z</dcterms:created>
  <dcterms:modified xsi:type="dcterms:W3CDTF">2020-04-20T10:00:00Z</dcterms:modified>
</cp:coreProperties>
</file>